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EFACA" w14:textId="3D220A95" w:rsidR="006C1A40" w:rsidRPr="00930C32" w:rsidRDefault="006C1A40" w:rsidP="006C1A40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 a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F42D16">
        <w:rPr>
          <w:rFonts w:ascii="Arial" w:eastAsia="Times New Roman" w:hAnsi="Arial" w:cs="Arial"/>
          <w:b/>
          <w:bCs/>
          <w:sz w:val="32"/>
          <w:szCs w:val="32"/>
        </w:rPr>
        <w:t>Müller-cső eredetű</w:t>
      </w:r>
      <w:r w:rsidR="007A6DD7">
        <w:rPr>
          <w:rFonts w:ascii="Arial" w:eastAsia="Times New Roman" w:hAnsi="Arial" w:cs="Arial"/>
          <w:b/>
          <w:bCs/>
          <w:sz w:val="32"/>
          <w:szCs w:val="32"/>
        </w:rPr>
        <w:t xml:space="preserve"> adenocarcinoma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húgyhólyagbiopszia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és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transzurethrális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reszekátum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 xml:space="preserve"> (TURB)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638012E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6D922DD4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1BF52257" w14:textId="208FD42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Érvényes: </w:t>
      </w:r>
      <w:r w:rsidRPr="00C37C29">
        <w:rPr>
          <w:rFonts w:ascii="Arial" w:eastAsia="Times New Roman" w:hAnsi="Arial" w:cs="Arial"/>
          <w:bCs/>
        </w:rPr>
        <w:t>2025</w:t>
      </w:r>
      <w:r w:rsidR="00C37C29">
        <w:rPr>
          <w:rFonts w:ascii="Arial" w:eastAsia="Times New Roman" w:hAnsi="Arial" w:cs="Arial"/>
          <w:bCs/>
        </w:rPr>
        <w:t>-</w:t>
      </w:r>
    </w:p>
    <w:p w14:paraId="2633350E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>
        <w:rPr>
          <w:rFonts w:ascii="Arial" w:eastAsia="Times New Roman" w:hAnsi="Arial" w:cs="Arial"/>
          <w:bCs/>
        </w:rPr>
        <w:t>Megjelenés után 24-36 hónapon belül</w:t>
      </w:r>
    </w:p>
    <w:p w14:paraId="15871E93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7BACA1A0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C1A40" w:rsidRPr="00930C32" w14:paraId="64AA4A05" w14:textId="77777777" w:rsidTr="003F3A13">
        <w:tc>
          <w:tcPr>
            <w:tcW w:w="4814" w:type="dxa"/>
          </w:tcPr>
          <w:p w14:paraId="28C1681E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1EC41D71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6C1A40" w:rsidRPr="00930C32" w14:paraId="321A0FC4" w14:textId="77777777" w:rsidTr="003F3A13">
        <w:tc>
          <w:tcPr>
            <w:tcW w:w="4814" w:type="dxa"/>
          </w:tcPr>
          <w:p w14:paraId="73E69714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703EBE5E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6C1A40" w:rsidRPr="00930C32" w14:paraId="1135E130" w14:textId="77777777" w:rsidTr="003F3A13">
        <w:tc>
          <w:tcPr>
            <w:tcW w:w="4814" w:type="dxa"/>
          </w:tcPr>
          <w:p w14:paraId="2CDB902C" w14:textId="77777777" w:rsidR="006C1A40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7E36A3C6" w14:textId="77777777" w:rsidR="006C1A40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6C1A40" w:rsidRPr="00930C32" w14:paraId="2B397FE2" w14:textId="77777777" w:rsidTr="003F3A13">
        <w:tc>
          <w:tcPr>
            <w:tcW w:w="4814" w:type="dxa"/>
          </w:tcPr>
          <w:p w14:paraId="5B0CA476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0F0E1B49" w14:textId="77777777" w:rsidR="006C1A40" w:rsidRPr="00930C32" w:rsidRDefault="006C1A4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6C1A40" w:rsidRPr="00930C32" w14:paraId="03969576" w14:textId="77777777" w:rsidTr="003F3A13">
        <w:tc>
          <w:tcPr>
            <w:tcW w:w="4814" w:type="dxa"/>
          </w:tcPr>
          <w:p w14:paraId="57EBDC10" w14:textId="0ED98DEC" w:rsidR="006C1A40" w:rsidRPr="00930C32" w:rsidRDefault="005E058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</w:rPr>
              <w:t>Müller-cső eredetű daganatok</w:t>
            </w:r>
          </w:p>
        </w:tc>
        <w:tc>
          <w:tcPr>
            <w:tcW w:w="4814" w:type="dxa"/>
          </w:tcPr>
          <w:p w14:paraId="0E663F49" w14:textId="720A655C" w:rsidR="006C1A40" w:rsidRPr="00930C32" w:rsidRDefault="005E0580" w:rsidP="003F3A13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Világossejtes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adeno</w:t>
            </w:r>
            <w:proofErr w:type="spellEnd"/>
            <w:r>
              <w:rPr>
                <w:rFonts w:ascii="Arial" w:eastAsia="Times New Roman" w:hAnsi="Arial" w:cs="Arial"/>
                <w:bCs/>
              </w:rPr>
              <w:t>)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, ill.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endometrioid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adenocarcinoma</w:t>
            </w:r>
          </w:p>
        </w:tc>
      </w:tr>
    </w:tbl>
    <w:p w14:paraId="42F07D59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F05A2FD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364A8DB7" w14:textId="77777777" w:rsidR="006C1A40" w:rsidRPr="00930C32" w:rsidRDefault="006C1A40" w:rsidP="006C1A40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C1A40" w:rsidRPr="00930C32" w14:paraId="745544F5" w14:textId="77777777" w:rsidTr="003F3A13">
        <w:tc>
          <w:tcPr>
            <w:tcW w:w="4814" w:type="dxa"/>
          </w:tcPr>
          <w:p w14:paraId="652B7C18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5044A405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Megjegyzés</w:t>
            </w:r>
          </w:p>
        </w:tc>
      </w:tr>
      <w:tr w:rsidR="006C1A40" w:rsidRPr="00930C32" w14:paraId="2AB2AED0" w14:textId="77777777" w:rsidTr="003F3A13">
        <w:tc>
          <w:tcPr>
            <w:tcW w:w="4814" w:type="dxa"/>
          </w:tcPr>
          <w:p w14:paraId="06434F7D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5F4D11DA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625B450E" w14:textId="77777777" w:rsidTr="003F3A13">
        <w:tc>
          <w:tcPr>
            <w:tcW w:w="4814" w:type="dxa"/>
          </w:tcPr>
          <w:p w14:paraId="23E93A81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457631A4" w14:textId="77777777" w:rsidR="006C1A40" w:rsidRPr="00930C32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061E747D" w14:textId="77777777" w:rsidTr="003F3A13">
        <w:trPr>
          <w:trHeight w:val="352"/>
        </w:trPr>
        <w:tc>
          <w:tcPr>
            <w:tcW w:w="4814" w:type="dxa"/>
          </w:tcPr>
          <w:p w14:paraId="62751A2D" w14:textId="77777777" w:rsidR="006C1A40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417A265C" w14:textId="77777777" w:rsidR="006C1A40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47AE05BD" w14:textId="77777777" w:rsidTr="003F3A13">
        <w:trPr>
          <w:trHeight w:val="352"/>
        </w:trPr>
        <w:tc>
          <w:tcPr>
            <w:tcW w:w="4814" w:type="dxa"/>
          </w:tcPr>
          <w:p w14:paraId="3AD180CC" w14:textId="77777777" w:rsidR="006C1A40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1246F83D" w14:textId="77777777" w:rsidR="006C1A40" w:rsidRDefault="006C1A40" w:rsidP="003F3A13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371C4CBB" w14:textId="77777777" w:rsidTr="003F3A13">
        <w:trPr>
          <w:trHeight w:val="352"/>
        </w:trPr>
        <w:tc>
          <w:tcPr>
            <w:tcW w:w="4814" w:type="dxa"/>
          </w:tcPr>
          <w:p w14:paraId="51F7B5A0" w14:textId="42CA4A64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1A40">
              <w:rPr>
                <w:rFonts w:ascii="Arial" w:eastAsia="Times New Roman" w:hAnsi="Arial" w:cs="Arial"/>
                <w:bCs/>
                <w:sz w:val="24"/>
              </w:rPr>
              <w:t>Urachus-carcinoma</w:t>
            </w:r>
            <w:proofErr w:type="spellEnd"/>
          </w:p>
        </w:tc>
        <w:tc>
          <w:tcPr>
            <w:tcW w:w="4814" w:type="dxa"/>
          </w:tcPr>
          <w:p w14:paraId="26FF9C4F" w14:textId="13E32CE2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17DEBF84" w14:textId="77777777" w:rsidTr="003F3A13">
        <w:trPr>
          <w:trHeight w:val="352"/>
        </w:trPr>
        <w:tc>
          <w:tcPr>
            <w:tcW w:w="4814" w:type="dxa"/>
          </w:tcPr>
          <w:p w14:paraId="53B86717" w14:textId="6B8AEEF4" w:rsidR="006C1A40" w:rsidRDefault="005E058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0580">
              <w:rPr>
                <w:rFonts w:ascii="Arial" w:hAnsi="Arial" w:cs="Arial"/>
                <w:sz w:val="24"/>
                <w:szCs w:val="24"/>
              </w:rPr>
              <w:t>Primer adenocarcinoma</w:t>
            </w:r>
          </w:p>
        </w:tc>
        <w:tc>
          <w:tcPr>
            <w:tcW w:w="4814" w:type="dxa"/>
          </w:tcPr>
          <w:p w14:paraId="6457D04B" w14:textId="0D3DA482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A40" w:rsidRPr="00930C32" w14:paraId="55A3CE03" w14:textId="77777777" w:rsidTr="003F3A13">
        <w:trPr>
          <w:trHeight w:val="352"/>
        </w:trPr>
        <w:tc>
          <w:tcPr>
            <w:tcW w:w="4814" w:type="dxa"/>
          </w:tcPr>
          <w:p w14:paraId="4EE42386" w14:textId="675A9DFE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invazív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2133A73F" w14:textId="1A6C0480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6C1A40" w:rsidRPr="00930C32" w14:paraId="695085C9" w14:textId="77777777" w:rsidTr="003F3A13">
        <w:trPr>
          <w:trHeight w:val="352"/>
        </w:trPr>
        <w:tc>
          <w:tcPr>
            <w:tcW w:w="4814" w:type="dxa"/>
          </w:tcPr>
          <w:p w14:paraId="06AA4CC5" w14:textId="3CF55334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situ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4E4FDFFB" w14:textId="2A85CE47" w:rsidR="006C1A40" w:rsidRDefault="006C1A40" w:rsidP="006C1A40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5765DE81" w14:textId="77777777" w:rsidR="006C1A40" w:rsidRPr="00930C32" w:rsidRDefault="006C1A40" w:rsidP="006C1A40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A15D380" w14:textId="77777777" w:rsidR="006C1A40" w:rsidRPr="00930C32" w:rsidRDefault="006C1A40" w:rsidP="006C1A40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lastRenderedPageBreak/>
        <w:t xml:space="preserve">Felelős szerkesztő(k): </w:t>
      </w:r>
    </w:p>
    <w:p w14:paraId="325FD122" w14:textId="77777777" w:rsidR="006C1A40" w:rsidRPr="00930C32" w:rsidRDefault="006C1A40" w:rsidP="006C1A40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20E6D41A" w14:textId="77777777" w:rsidR="006C1A40" w:rsidRPr="00930C32" w:rsidRDefault="006C1A40" w:rsidP="006C1A40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63BF9D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57BABF87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3252818D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40BA18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282FE337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502C8D2C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Bubendorf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Cheng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L. International Society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Current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Issues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Bladder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: Main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Conclusions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Recommendations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Eur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2024;85:411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-413.</w:t>
      </w:r>
    </w:p>
    <w:p w14:paraId="5830A2CE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5CE2A029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WHO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Editorial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Board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tract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. In: WHO</w:t>
      </w:r>
    </w:p>
    <w:p w14:paraId="7D27313D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male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genital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5th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Geneva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Switzerland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: WHO Press; 2022.</w:t>
      </w:r>
    </w:p>
    <w:p w14:paraId="6398E406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7B70A58C" w14:textId="77777777" w:rsidR="006C1A40" w:rsidRPr="001C574F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B, Sánta F, Schubert A,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Az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invazív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urothelsejtes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morfológiai variánsai [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Morphological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variants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invasive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cell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.]. Orv Hetil.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2023;164:1567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-1582. </w:t>
      </w:r>
    </w:p>
    <w:p w14:paraId="2B8BF73A" w14:textId="77777777" w:rsidR="006C1A40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33984037" w14:textId="77777777" w:rsidR="006C1A40" w:rsidRDefault="006C1A40" w:rsidP="006C1A40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72E45724" w14:textId="77777777" w:rsidR="006C1A40" w:rsidRPr="00B535B1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3CF00620" w14:textId="77777777" w:rsidR="006C1A40" w:rsidRPr="00B535B1" w:rsidRDefault="006C1A40" w:rsidP="006C1A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Pr="00B535B1">
        <w:rPr>
          <w:rFonts w:ascii="Arial" w:hAnsi="Arial" w:cs="Arial"/>
          <w:sz w:val="20"/>
          <w:szCs w:val="20"/>
        </w:rPr>
        <w:t>!</w:t>
      </w:r>
    </w:p>
    <w:p w14:paraId="5F27D1D0" w14:textId="77777777" w:rsidR="006C1A40" w:rsidRPr="00930C32" w:rsidRDefault="006C1A40" w:rsidP="006C1A40">
      <w:pPr>
        <w:spacing w:line="360" w:lineRule="auto"/>
        <w:jc w:val="both"/>
        <w:rPr>
          <w:rFonts w:ascii="Arial" w:hAnsi="Arial" w:cs="Arial"/>
        </w:rPr>
      </w:pPr>
    </w:p>
    <w:p w14:paraId="15A910C0" w14:textId="7CE67B19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</w:rPr>
        <w:t>Húgyhólyagbiopszia</w:t>
      </w:r>
      <w:proofErr w:type="spellEnd"/>
      <w:r>
        <w:rPr>
          <w:rFonts w:ascii="Arial" w:hAnsi="Arial" w:cs="Arial"/>
        </w:rPr>
        <w:t xml:space="preserve"> / TUR</w:t>
      </w:r>
      <w:r w:rsidR="005E0580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 xml:space="preserve">: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meghatározható</w:t>
      </w:r>
      <w:proofErr w:type="spellEnd"/>
    </w:p>
    <w:p w14:paraId="11F456B7" w14:textId="77777777" w:rsidR="006C1A40" w:rsidRPr="002237B8" w:rsidRDefault="006C1A40" w:rsidP="006C1A40">
      <w:pPr>
        <w:spacing w:line="360" w:lineRule="auto"/>
        <w:jc w:val="both"/>
        <w:rPr>
          <w:rFonts w:ascii="Arial" w:hAnsi="Arial" w:cs="Arial"/>
        </w:rPr>
      </w:pPr>
    </w:p>
    <w:p w14:paraId="6043FB4B" w14:textId="77777777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Trigonum, </w:t>
      </w:r>
      <w:proofErr w:type="spellStart"/>
      <w:r>
        <w:rPr>
          <w:rFonts w:ascii="Arial" w:hAnsi="Arial" w:cs="Arial"/>
        </w:rPr>
        <w:t>Jobb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oldalfal</w:t>
      </w:r>
      <w:proofErr w:type="spellEnd"/>
      <w:r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Bal </w:t>
      </w:r>
      <w:proofErr w:type="spellStart"/>
      <w:r>
        <w:rPr>
          <w:rFonts w:ascii="Arial" w:hAnsi="Arial" w:cs="Arial"/>
        </w:rPr>
        <w:t>oldalfal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Elülső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Hátsó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Kupola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 xml:space="preserve"> 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5F93F7FF" w14:textId="0D2CCD4D" w:rsidR="006C1A40" w:rsidRDefault="006C1A40" w:rsidP="005E058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Pr="006F298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spellStart"/>
      <w:r w:rsidR="005E0580">
        <w:rPr>
          <w:rFonts w:ascii="Arial" w:hAnsi="Arial" w:cs="Arial"/>
        </w:rPr>
        <w:t>Világossejtes</w:t>
      </w:r>
      <w:proofErr w:type="spellEnd"/>
      <w:r>
        <w:rPr>
          <w:rFonts w:ascii="Arial" w:hAnsi="Arial" w:cs="Arial"/>
        </w:rPr>
        <w:t xml:space="preserve"> adenocarcinoma / </w:t>
      </w:r>
      <w:r w:rsidR="005E0580">
        <w:rPr>
          <w:rFonts w:ascii="Arial" w:hAnsi="Arial" w:cs="Arial"/>
        </w:rPr>
        <w:t>Endometrioid</w:t>
      </w:r>
      <w:r>
        <w:rPr>
          <w:rFonts w:ascii="Arial" w:hAnsi="Arial" w:cs="Arial"/>
        </w:rPr>
        <w:t xml:space="preserve"> adenocarcinoma </w:t>
      </w:r>
    </w:p>
    <w:p w14:paraId="6D9E5E3A" w14:textId="0ACCBD92" w:rsidR="006C1A40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</w:t>
      </w:r>
      <w:r w:rsidRPr="003C53B6">
        <w:rPr>
          <w:rFonts w:ascii="Arial" w:hAnsi="Arial" w:cs="Arial"/>
          <w:b/>
        </w:rPr>
        <w:t>rádus</w:t>
      </w:r>
      <w:proofErr w:type="spellEnd"/>
      <w:r w:rsidRPr="003C53B6">
        <w:rPr>
          <w:rFonts w:ascii="Arial" w:hAnsi="Arial" w:cs="Arial"/>
          <w:b/>
        </w:rPr>
        <w:t xml:space="preserve">: </w:t>
      </w:r>
    </w:p>
    <w:p w14:paraId="6F91DB77" w14:textId="6DF5F8D0" w:rsidR="006C1A40" w:rsidRPr="003C53B6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lastRenderedPageBreak/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64840F9A" w14:textId="7D233B4A" w:rsidR="006C1A40" w:rsidRPr="006F2984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 -</w:t>
      </w:r>
    </w:p>
    <w:p w14:paraId="39577324" w14:textId="77777777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átmérője</w:t>
      </w:r>
      <w:proofErr w:type="spellEnd"/>
      <w:r>
        <w:rPr>
          <w:rFonts w:ascii="Arial" w:hAnsi="Arial" w:cs="Arial"/>
        </w:rPr>
        <w:t>: … mm</w:t>
      </w:r>
    </w:p>
    <w:p w14:paraId="6AE91101" w14:textId="6B913F29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0A3E46E8" w14:textId="77777777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megítélhető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minta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húgyhólyag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simaizomrétegét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tartalmazza</w:t>
      </w:r>
      <w:proofErr w:type="spellEnd"/>
      <w:r>
        <w:rPr>
          <w:rFonts w:ascii="Arial" w:hAnsi="Arial" w:cs="Arial"/>
        </w:rPr>
        <w:t>.</w:t>
      </w:r>
    </w:p>
    <w:p w14:paraId="1232E95B" w14:textId="78D1671B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beszűri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</w:p>
    <w:p w14:paraId="165D06F3" w14:textId="77777777" w:rsidR="006C1A40" w:rsidRPr="006F2984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F2984">
        <w:rPr>
          <w:rFonts w:ascii="Arial" w:hAnsi="Arial" w:cs="Arial"/>
          <w:b/>
        </w:rPr>
        <w:t>Specializált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terjedés</w:t>
      </w:r>
      <w:proofErr w:type="spellEnd"/>
      <w:r>
        <w:rPr>
          <w:rFonts w:ascii="Arial" w:hAnsi="Arial" w:cs="Arial"/>
          <w:b/>
        </w:rPr>
        <w:t xml:space="preserve"> -</w:t>
      </w:r>
    </w:p>
    <w:p w14:paraId="09E05220" w14:textId="77777777" w:rsidR="006C1A40" w:rsidRPr="00930C32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Lymphovasculáris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(L0) / </w:t>
      </w:r>
      <w:proofErr w:type="spellStart"/>
      <w:r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(L1)</w:t>
      </w:r>
    </w:p>
    <w:p w14:paraId="7DBB51CA" w14:textId="77777777" w:rsidR="006C1A40" w:rsidRPr="00930C32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Kis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vérér</w:t>
      </w:r>
      <w:r>
        <w:rPr>
          <w:rFonts w:ascii="Arial" w:hAnsi="Arial" w:cs="Arial"/>
        </w:rPr>
        <w:t>-</w:t>
      </w:r>
      <w:r w:rsidRPr="00930C32">
        <w:rPr>
          <w:rFonts w:ascii="Arial" w:hAnsi="Arial" w:cs="Arial"/>
        </w:rPr>
        <w:t>invázió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(V0) / </w:t>
      </w:r>
      <w:proofErr w:type="spellStart"/>
      <w:r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(V1)</w:t>
      </w:r>
    </w:p>
    <w:p w14:paraId="163DAD1E" w14:textId="77777777" w:rsidR="006C1A40" w:rsidRPr="00930C32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Perineur</w:t>
      </w:r>
      <w:r>
        <w:rPr>
          <w:rFonts w:ascii="Arial" w:hAnsi="Arial" w:cs="Arial"/>
        </w:rPr>
        <w:t>á</w:t>
      </w:r>
      <w:r w:rsidRPr="00930C32">
        <w:rPr>
          <w:rFonts w:ascii="Arial" w:hAnsi="Arial" w:cs="Arial"/>
        </w:rPr>
        <w:t>lis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(Pn0) / </w:t>
      </w:r>
      <w:proofErr w:type="spellStart"/>
      <w:r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(Pn1)</w:t>
      </w:r>
    </w:p>
    <w:p w14:paraId="7B416A61" w14:textId="146D73A4" w:rsidR="00F72035" w:rsidRDefault="00F72035" w:rsidP="00F7203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 </w:t>
      </w:r>
      <w:proofErr w:type="spellStart"/>
      <w:r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:</w:t>
      </w:r>
    </w:p>
    <w:p w14:paraId="6B3CD31A" w14:textId="44E6A151" w:rsidR="00F72035" w:rsidRPr="00085002" w:rsidRDefault="00F72035" w:rsidP="003F3A13">
      <w:pPr>
        <w:spacing w:line="360" w:lineRule="auto"/>
        <w:jc w:val="both"/>
        <w:rPr>
          <w:rFonts w:ascii="Arial" w:hAnsi="Arial" w:cs="Arial"/>
          <w:b/>
        </w:rPr>
      </w:pPr>
      <w:r w:rsidRPr="00085002">
        <w:rPr>
          <w:rFonts w:ascii="Arial" w:hAnsi="Arial" w:cs="Arial"/>
          <w:b/>
        </w:rPr>
        <w:t xml:space="preserve">Molekuláris </w:t>
      </w:r>
      <w:proofErr w:type="spellStart"/>
      <w:r w:rsidRPr="00085002">
        <w:rPr>
          <w:rFonts w:ascii="Arial" w:hAnsi="Arial" w:cs="Arial"/>
          <w:b/>
        </w:rPr>
        <w:t>vizsgálatra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alkalmas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blok</w:t>
      </w:r>
      <w:r w:rsidR="00D762A3">
        <w:rPr>
          <w:rFonts w:ascii="Arial" w:hAnsi="Arial" w:cs="Arial"/>
          <w:b/>
        </w:rPr>
        <w:t>k</w:t>
      </w:r>
      <w:proofErr w:type="spellEnd"/>
      <w:r w:rsidRPr="00085002">
        <w:rPr>
          <w:rFonts w:ascii="Arial" w:hAnsi="Arial" w:cs="Arial"/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1A40" w14:paraId="6C08ABA0" w14:textId="77777777" w:rsidTr="003F3A13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2DD83" w14:textId="77777777" w:rsidR="006C1A40" w:rsidRDefault="006C1A40" w:rsidP="003F3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3AD0C71" w14:textId="77777777" w:rsidR="006C1A40" w:rsidRPr="00085002" w:rsidRDefault="006C1A40" w:rsidP="006C1A40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r w:rsidRPr="00085002">
        <w:rPr>
          <w:rFonts w:ascii="Arial" w:hAnsi="Arial" w:cs="Arial"/>
          <w:b/>
        </w:rPr>
        <w:t>Vélemény</w:t>
      </w:r>
      <w:proofErr w:type="spellEnd"/>
      <w:r w:rsidRPr="00085002">
        <w:rPr>
          <w:rFonts w:ascii="Arial" w:hAnsi="Arial" w:cs="Arial"/>
          <w:b/>
        </w:rPr>
        <w:t>:</w:t>
      </w:r>
    </w:p>
    <w:p w14:paraId="40C31382" w14:textId="18B8C1A9" w:rsidR="006C1A40" w:rsidRDefault="006C1A40" w:rsidP="006C1A4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Oldaliság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beavatkozás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típusa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5E0580">
        <w:rPr>
          <w:rFonts w:ascii="Arial" w:hAnsi="Arial" w:cs="Arial"/>
        </w:rPr>
        <w:t>Világossejtes</w:t>
      </w:r>
      <w:proofErr w:type="spellEnd"/>
      <w:r w:rsidR="005E0580">
        <w:rPr>
          <w:rFonts w:ascii="Arial" w:hAnsi="Arial" w:cs="Arial"/>
        </w:rPr>
        <w:t xml:space="preserve"> adenocarcinoma / Endometrioid adenocarcinoma</w:t>
      </w:r>
      <w:r>
        <w:rPr>
          <w:rFonts w:ascii="Arial" w:hAnsi="Arial" w:cs="Arial"/>
        </w:rPr>
        <w:t xml:space="preserve">, grade </w:t>
      </w:r>
      <w:r w:rsidR="00F72035">
        <w:rPr>
          <w:rFonts w:ascii="Arial" w:hAnsi="Arial" w:cs="Arial"/>
        </w:rPr>
        <w:t xml:space="preserve">1 / </w:t>
      </w:r>
      <w:r>
        <w:rPr>
          <w:rFonts w:ascii="Arial" w:hAnsi="Arial" w:cs="Arial"/>
        </w:rPr>
        <w:t xml:space="preserve">2 / 3. UICC/AJCC TNM stadium. </w:t>
      </w:r>
    </w:p>
    <w:p w14:paraId="16D02E82" w14:textId="77777777" w:rsidR="006C1A40" w:rsidRDefault="006C1A40" w:rsidP="006C1A40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94E141" w14:textId="77777777" w:rsidR="006C1A40" w:rsidRDefault="006C1A40" w:rsidP="006C1A40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BNO kód: C6790</w:t>
      </w:r>
    </w:p>
    <w:p w14:paraId="29926503" w14:textId="3FA65A45" w:rsidR="006C1A40" w:rsidRPr="00930C32" w:rsidRDefault="006C1A40" w:rsidP="006C1A40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</w:t>
      </w:r>
      <w:r w:rsidR="00F7203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03</w:t>
      </w:r>
    </w:p>
    <w:p w14:paraId="70956DE2" w14:textId="77777777" w:rsidR="00CA68F0" w:rsidRDefault="00167CC5"/>
    <w:sectPr w:rsidR="00CA68F0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6C066" w14:textId="77777777" w:rsidR="00167CC5" w:rsidRDefault="00167CC5">
      <w:r>
        <w:separator/>
      </w:r>
    </w:p>
  </w:endnote>
  <w:endnote w:type="continuationSeparator" w:id="0">
    <w:p w14:paraId="682AE071" w14:textId="77777777" w:rsidR="00167CC5" w:rsidRDefault="0016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4939FAC6" w14:textId="77777777" w:rsidR="00901C61" w:rsidRPr="002D0271" w:rsidRDefault="00167CC5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0564FC0" w14:textId="77777777" w:rsidR="00901C61" w:rsidRPr="006D194C" w:rsidRDefault="00167CC5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1A3E6014" w14:textId="77777777" w:rsidR="00901C61" w:rsidRPr="00CF4AB2" w:rsidRDefault="007A6DD7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65F8A53F" w14:textId="77777777" w:rsidR="00901C61" w:rsidRPr="00CF4AB2" w:rsidRDefault="007A6DD7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0EE854C1" w14:textId="77777777" w:rsidR="00901C61" w:rsidRDefault="007A6DD7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84A28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AAD4C" w14:textId="77777777" w:rsidR="00167CC5" w:rsidRDefault="00167CC5">
      <w:r>
        <w:separator/>
      </w:r>
    </w:p>
  </w:footnote>
  <w:footnote w:type="continuationSeparator" w:id="0">
    <w:p w14:paraId="017D7FA1" w14:textId="77777777" w:rsidR="00167CC5" w:rsidRDefault="0016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25C87402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7039FB3B" w14:textId="77777777" w:rsidR="006D194C" w:rsidRPr="006D194C" w:rsidRDefault="007A6DD7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0FE7EB66" wp14:editId="4F3E59F5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7B67E9C9" w14:textId="77777777" w:rsidR="006D194C" w:rsidRPr="006D194C" w:rsidRDefault="007A6DD7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5C80BED3" w14:textId="77777777" w:rsidR="006D194C" w:rsidRPr="006D194C" w:rsidRDefault="007A6DD7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522599C4" w14:textId="77777777" w:rsidR="0005221C" w:rsidRDefault="007A6DD7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0788CA60" w14:textId="77777777" w:rsidR="006D194C" w:rsidRPr="006D194C" w:rsidRDefault="00167CC5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7A6DD7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7A6DD7">
            <w:rPr>
              <w:rFonts w:eastAsia="Times New Roman"/>
              <w:bdr w:val="none" w:sz="0" w:space="0" w:color="auto"/>
              <w:lang w:val="hu-HU"/>
            </w:rPr>
            <w:t>,</w:t>
          </w:r>
          <w:r w:rsidR="007A6DD7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7A6DD7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16172DDF" w14:textId="77777777" w:rsidR="006D194C" w:rsidRPr="006D194C" w:rsidRDefault="00167CC5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12477FE2" w14:textId="77777777" w:rsidR="006D194C" w:rsidRPr="003D77BB" w:rsidRDefault="00167CC5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3F"/>
    <w:rsid w:val="00086E5C"/>
    <w:rsid w:val="00167CC5"/>
    <w:rsid w:val="00374745"/>
    <w:rsid w:val="003D2B99"/>
    <w:rsid w:val="00456F96"/>
    <w:rsid w:val="005E0580"/>
    <w:rsid w:val="00627238"/>
    <w:rsid w:val="006C1A40"/>
    <w:rsid w:val="006F5692"/>
    <w:rsid w:val="007374EA"/>
    <w:rsid w:val="00746DD2"/>
    <w:rsid w:val="007A6DD7"/>
    <w:rsid w:val="008A517A"/>
    <w:rsid w:val="009C68F8"/>
    <w:rsid w:val="00A553AF"/>
    <w:rsid w:val="00A5783F"/>
    <w:rsid w:val="00BC42E4"/>
    <w:rsid w:val="00C37C29"/>
    <w:rsid w:val="00D762A3"/>
    <w:rsid w:val="00F42D16"/>
    <w:rsid w:val="00F72035"/>
    <w:rsid w:val="00F9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FBCC"/>
  <w15:chartTrackingRefBased/>
  <w15:docId w15:val="{5863224F-3880-4524-A409-09621198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1A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1A40"/>
    <w:rPr>
      <w:u w:val="single"/>
    </w:rPr>
  </w:style>
  <w:style w:type="paragraph" w:customStyle="1" w:styleId="Alaprtelmezett">
    <w:name w:val="Alapértelmezett"/>
    <w:rsid w:val="006C1A4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link w:val="SzvegtrzsChar"/>
    <w:rsid w:val="006C1A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6C1A40"/>
    <w:rPr>
      <w:rFonts w:ascii="Helvetica Neue" w:eastAsia="Helvetica Neue" w:hAnsi="Helvetica Neue" w:cs="Helvetica Neue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C1A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1A4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lb">
    <w:name w:val="footer"/>
    <w:basedOn w:val="Norml"/>
    <w:link w:val="llbChar"/>
    <w:uiPriority w:val="99"/>
    <w:unhideWhenUsed/>
    <w:rsid w:val="006C1A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1A4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Rcsostblzat">
    <w:name w:val="Table Grid"/>
    <w:basedOn w:val="Normltblzat"/>
    <w:uiPriority w:val="39"/>
    <w:rsid w:val="006C1A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Kuthi Levente</dc:creator>
  <cp:keywords/>
  <dc:description/>
  <cp:lastModifiedBy>Dr. Tóth Erika</cp:lastModifiedBy>
  <cp:revision>2</cp:revision>
  <dcterms:created xsi:type="dcterms:W3CDTF">2025-09-18T09:05:00Z</dcterms:created>
  <dcterms:modified xsi:type="dcterms:W3CDTF">2025-09-18T09:05:00Z</dcterms:modified>
</cp:coreProperties>
</file>